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CA" w:rsidRDefault="00F22FCA" w:rsidP="00F22FCA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A32B0A" w:rsidRPr="0062380C" w:rsidRDefault="00A32B0A" w:rsidP="00F22FCA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F22FCA" w:rsidRPr="0062380C" w:rsidRDefault="00F22FCA" w:rsidP="00F22FCA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7</w:t>
      </w:r>
      <w:r w:rsidR="00A515B4">
        <w:rPr>
          <w:rFonts w:ascii="Times New Roman" w:hAnsi="Times New Roman"/>
          <w:b/>
          <w:color w:val="auto"/>
          <w:sz w:val="28"/>
          <w:szCs w:val="28"/>
        </w:rPr>
        <w:t>8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 w:rsidR="00A32B0A">
        <w:rPr>
          <w:rFonts w:ascii="Times New Roman" w:hAnsi="Times New Roman"/>
          <w:b/>
          <w:color w:val="auto"/>
          <w:sz w:val="28"/>
          <w:szCs w:val="28"/>
        </w:rPr>
        <w:t>20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NOVEMBRO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F22FCA" w:rsidRDefault="00F22FCA" w:rsidP="00F22FCA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A32B0A" w:rsidRPr="004A02F0" w:rsidRDefault="0051068A" w:rsidP="00A32B0A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68A">
        <w:rPr>
          <w:rFonts w:ascii="Times New Roman" w:hAnsi="Times New Roman" w:cs="Times New Roman"/>
          <w:b/>
          <w:sz w:val="24"/>
          <w:szCs w:val="24"/>
        </w:rPr>
        <w:t>ESTIMA AS RECEITAS E FIXA AS DESPESAS DO ORÇAMENTO FISCAL DO MUNICÍPIO DE MARECHAL FLORIANO PARA O EXERCÍCIO DE 2016</w:t>
      </w:r>
      <w:r w:rsidR="00A32B0A" w:rsidRPr="004A02F0">
        <w:rPr>
          <w:rFonts w:ascii="Times New Roman" w:hAnsi="Times New Roman" w:cs="Times New Roman"/>
          <w:bCs/>
          <w:sz w:val="24"/>
          <w:szCs w:val="24"/>
        </w:rPr>
        <w:t>.</w:t>
      </w:r>
    </w:p>
    <w:p w:rsidR="00F22FCA" w:rsidRDefault="00F22FCA" w:rsidP="00F22FCA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51068A" w:rsidRDefault="0051068A" w:rsidP="00F22FCA">
      <w:pPr>
        <w:ind w:firstLine="2552"/>
        <w:jc w:val="both"/>
        <w:rPr>
          <w:rFonts w:ascii="Times New Roman" w:hAnsi="Times New Roman"/>
          <w:b/>
          <w:color w:val="auto"/>
        </w:rPr>
      </w:pPr>
    </w:p>
    <w:p w:rsidR="00F22FCA" w:rsidRDefault="00F22FCA" w:rsidP="00F22FCA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F22FCA" w:rsidRDefault="00F22FCA" w:rsidP="00F22FCA">
      <w:pPr>
        <w:ind w:firstLine="2552"/>
        <w:jc w:val="both"/>
        <w:rPr>
          <w:rFonts w:ascii="Times New Roman" w:hAnsi="Times New Roman"/>
          <w:color w:val="auto"/>
        </w:rPr>
      </w:pPr>
    </w:p>
    <w:p w:rsidR="0051068A" w:rsidRPr="0051068A" w:rsidRDefault="0051068A" w:rsidP="0051068A">
      <w:pPr>
        <w:pStyle w:val="SemEspaamento"/>
        <w:ind w:firstLine="25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1º. </w:t>
      </w:r>
      <w:r w:rsidRPr="0051068A">
        <w:rPr>
          <w:rFonts w:ascii="Times New Roman" w:hAnsi="Times New Roman" w:cs="Times New Roman"/>
          <w:color w:val="000000"/>
          <w:sz w:val="24"/>
          <w:szCs w:val="24"/>
        </w:rPr>
        <w:t>O Orçamento Fiscal do Município de Marechal Floriano para o exercício financeiro de 2016 estima a receita e fixa a despesa em R$ 48.000.000,00 (quarenta e oito milhões de reais).</w:t>
      </w:r>
    </w:p>
    <w:p w:rsidR="0051068A" w:rsidRPr="0051068A" w:rsidRDefault="0051068A" w:rsidP="0051068A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068A" w:rsidRPr="0051068A" w:rsidRDefault="0051068A" w:rsidP="0051068A">
      <w:pPr>
        <w:pStyle w:val="SemEspaamento"/>
        <w:ind w:firstLine="25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2º. </w:t>
      </w:r>
      <w:r w:rsidRPr="0051068A">
        <w:rPr>
          <w:rFonts w:ascii="Times New Roman" w:hAnsi="Times New Roman" w:cs="Times New Roman"/>
          <w:color w:val="000000"/>
          <w:sz w:val="24"/>
          <w:szCs w:val="24"/>
        </w:rPr>
        <w:t>As receitas do Orçamento Fiscal serão realizadas mediante arrecadação de tributos e outras receitas correntes e de capital, na forma da legislação em vigor e das especificações constantes dos anexos que integram esta Lei, com os seguintes desdobramentos:</w:t>
      </w:r>
    </w:p>
    <w:p w:rsidR="0051068A" w:rsidRP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tbl>
      <w:tblPr>
        <w:tblW w:w="4674" w:type="pct"/>
        <w:tblCellMar>
          <w:left w:w="70" w:type="dxa"/>
          <w:right w:w="70" w:type="dxa"/>
        </w:tblCellMar>
        <w:tblLook w:val="0000"/>
      </w:tblPr>
      <w:tblGrid>
        <w:gridCol w:w="1131"/>
        <w:gridCol w:w="4442"/>
        <w:gridCol w:w="2066"/>
        <w:gridCol w:w="1237"/>
      </w:tblGrid>
      <w:tr w:rsidR="0051068A" w:rsidRPr="0051068A" w:rsidTr="0051068A">
        <w:trPr>
          <w:trHeight w:val="245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Descrição da Função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1068A" w:rsidRPr="0051068A" w:rsidTr="0051068A">
        <w:trPr>
          <w:trHeight w:val="261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_Hlk306951905"/>
            <w:bookmarkStart w:id="3" w:name="_Hlk399756773"/>
            <w:bookmarkEnd w:id="0"/>
            <w:bookmarkEnd w:id="1"/>
            <w:bookmarkEnd w:id="2"/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Legislativa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2.350.000,00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51068A" w:rsidRPr="0051068A" w:rsidTr="0051068A">
        <w:trPr>
          <w:trHeight w:val="245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Judiciária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479.500,00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1068A" w:rsidRPr="0051068A" w:rsidTr="0051068A">
        <w:trPr>
          <w:trHeight w:val="245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10.587.000,00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  <w:tr w:rsidR="0051068A" w:rsidRPr="0051068A" w:rsidTr="0051068A">
        <w:trPr>
          <w:trHeight w:val="261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Segurança Pública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7.000,00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51068A" w:rsidRPr="0051068A" w:rsidTr="0051068A">
        <w:trPr>
          <w:trHeight w:val="261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Assistência Social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2.415.500,00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</w:tr>
      <w:tr w:rsidR="0051068A" w:rsidRPr="0051068A" w:rsidTr="0051068A">
        <w:trPr>
          <w:trHeight w:val="261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10.878.700,00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22,66</w:t>
            </w:r>
          </w:p>
        </w:tc>
      </w:tr>
      <w:tr w:rsidR="0051068A" w:rsidRPr="0051068A" w:rsidTr="0051068A">
        <w:trPr>
          <w:trHeight w:val="245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13.609.500,00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28,35</w:t>
            </w:r>
          </w:p>
        </w:tc>
      </w:tr>
      <w:tr w:rsidR="0051068A" w:rsidRPr="0051068A" w:rsidTr="0051068A">
        <w:trPr>
          <w:trHeight w:val="261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372.300,00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51068A" w:rsidRPr="0051068A" w:rsidTr="0051068A">
        <w:trPr>
          <w:trHeight w:val="261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Urbanismo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2.369.000,00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51068A" w:rsidRPr="0051068A" w:rsidTr="0051068A">
        <w:trPr>
          <w:trHeight w:val="261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Saneamento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142.500,00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51068A" w:rsidRPr="0051068A" w:rsidTr="0051068A">
        <w:trPr>
          <w:trHeight w:val="261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Gestão Ambiental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712.000,00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</w:tr>
      <w:tr w:rsidR="0051068A" w:rsidRPr="0051068A" w:rsidTr="0051068A">
        <w:trPr>
          <w:trHeight w:val="245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Agricultura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1.074.900,00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</w:tr>
      <w:tr w:rsidR="0051068A" w:rsidRPr="0051068A" w:rsidTr="0051068A">
        <w:trPr>
          <w:trHeight w:val="245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Comércio e Serviço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973.800,00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</w:tr>
      <w:tr w:rsidR="0051068A" w:rsidRPr="0051068A" w:rsidTr="0051068A">
        <w:trPr>
          <w:trHeight w:val="261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1.162.000,00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51068A" w:rsidRPr="0051068A" w:rsidTr="0051068A">
        <w:trPr>
          <w:trHeight w:val="261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Transporte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358.500,00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51068A" w:rsidRPr="0051068A" w:rsidTr="0051068A">
        <w:trPr>
          <w:trHeight w:val="261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Desporto e Lazer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477.800,00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1068A" w:rsidRPr="0051068A" w:rsidTr="0051068A">
        <w:trPr>
          <w:trHeight w:val="245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Reserva de Contingência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bookmarkEnd w:id="3"/>
      <w:tr w:rsidR="0051068A" w:rsidRPr="0051068A" w:rsidTr="0051068A">
        <w:trPr>
          <w:trHeight w:val="291"/>
        </w:trPr>
        <w:tc>
          <w:tcPr>
            <w:tcW w:w="31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Total das Funções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48.000.000,00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:rsid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p w:rsid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p w:rsid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p w:rsid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p w:rsid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p w:rsid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p w:rsid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p w:rsid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tbl>
      <w:tblPr>
        <w:tblW w:w="4674" w:type="pct"/>
        <w:tblCellMar>
          <w:left w:w="70" w:type="dxa"/>
          <w:right w:w="70" w:type="dxa"/>
        </w:tblCellMar>
        <w:tblLook w:val="0000"/>
      </w:tblPr>
      <w:tblGrid>
        <w:gridCol w:w="5573"/>
        <w:gridCol w:w="2066"/>
        <w:gridCol w:w="1237"/>
      </w:tblGrid>
      <w:tr w:rsidR="0051068A" w:rsidRPr="0051068A" w:rsidTr="0051068A">
        <w:trPr>
          <w:trHeight w:val="230"/>
        </w:trPr>
        <w:tc>
          <w:tcPr>
            <w:tcW w:w="4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DESPESA POR ÓRGÃO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1068A" w:rsidRPr="0051068A" w:rsidTr="0051068A">
        <w:trPr>
          <w:trHeight w:val="250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Poder Legislativo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2.350.000,00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4,90</w:t>
            </w:r>
          </w:p>
        </w:tc>
      </w:tr>
      <w:tr w:rsidR="0051068A" w:rsidRPr="0051068A" w:rsidTr="0051068A">
        <w:trPr>
          <w:trHeight w:val="250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3"/>
            <w:bookmarkStart w:id="5" w:name="OLE_LINK4"/>
            <w:bookmarkStart w:id="6" w:name="_Hlk306959633"/>
            <w:bookmarkEnd w:id="4"/>
            <w:bookmarkEnd w:id="5"/>
            <w:bookmarkEnd w:id="6"/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Câmara Municipal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2.350.000,00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51068A" w:rsidRPr="0051068A" w:rsidTr="0051068A">
        <w:trPr>
          <w:trHeight w:val="328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Poder Executivo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45.650.000,00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95,10</w:t>
            </w:r>
          </w:p>
        </w:tc>
      </w:tr>
      <w:tr w:rsidR="0051068A" w:rsidRPr="0051068A" w:rsidTr="0051068A">
        <w:trPr>
          <w:trHeight w:val="235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399757036"/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887.000,00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51068A" w:rsidRPr="0051068A" w:rsidTr="0051068A">
        <w:trPr>
          <w:trHeight w:val="250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Controle Interno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187.000,00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51068A" w:rsidRPr="0051068A" w:rsidTr="0051068A">
        <w:trPr>
          <w:trHeight w:val="250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Procuradoria Geral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479.500,00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1068A" w:rsidRPr="0051068A" w:rsidTr="0051068A">
        <w:trPr>
          <w:trHeight w:val="250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Secretaria Municipal de Administração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3.708.500,00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</w:tc>
      </w:tr>
      <w:tr w:rsidR="0051068A" w:rsidRPr="0051068A" w:rsidTr="0051068A">
        <w:trPr>
          <w:trHeight w:val="235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Secretaria Municipal de Finanças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1.951.000,00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</w:tr>
      <w:tr w:rsidR="0051068A" w:rsidRPr="0051068A" w:rsidTr="0051068A">
        <w:trPr>
          <w:trHeight w:val="250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Secretaria Municipal de Obras e Serviços Urbanos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7.922.500,00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16,51</w:t>
            </w:r>
          </w:p>
        </w:tc>
      </w:tr>
      <w:tr w:rsidR="0051068A" w:rsidRPr="0051068A" w:rsidTr="0051068A">
        <w:trPr>
          <w:trHeight w:val="250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Secretaria Municipal de Educação e Esporte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14.087.300,00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29,35</w:t>
            </w:r>
          </w:p>
        </w:tc>
      </w:tr>
      <w:tr w:rsidR="0051068A" w:rsidRPr="0051068A" w:rsidTr="0051068A">
        <w:trPr>
          <w:trHeight w:val="235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Secretaria Municipal de Cultura e Turismo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1.346.100,00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51068A" w:rsidRPr="0051068A" w:rsidTr="0051068A">
        <w:trPr>
          <w:trHeight w:val="250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10.878.700,00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22,66</w:t>
            </w:r>
          </w:p>
        </w:tc>
      </w:tr>
      <w:tr w:rsidR="0051068A" w:rsidRPr="0051068A" w:rsidTr="0051068A">
        <w:trPr>
          <w:trHeight w:val="250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 e Direitos Humanos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2.415.500,00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</w:tr>
      <w:tr w:rsidR="0051068A" w:rsidRPr="0051068A" w:rsidTr="0051068A">
        <w:trPr>
          <w:trHeight w:val="235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Secretaria Municipal de Agricultura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1.074.900,00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</w:tr>
      <w:tr w:rsidR="0051068A" w:rsidRPr="0051068A" w:rsidTr="0051068A">
        <w:trPr>
          <w:trHeight w:val="235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68A" w:rsidRPr="0051068A" w:rsidRDefault="0051068A" w:rsidP="0051068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Secretaria Municipal de Meio Ambiente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eastAsia="Batang" w:hAnsi="Times New Roman" w:cs="Times New Roman"/>
                <w:sz w:val="24"/>
                <w:szCs w:val="24"/>
              </w:rPr>
              <w:t>712.000,00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</w:tr>
      <w:bookmarkEnd w:id="7"/>
      <w:tr w:rsidR="0051068A" w:rsidRPr="0051068A" w:rsidTr="0051068A">
        <w:trPr>
          <w:trHeight w:val="280"/>
        </w:trPr>
        <w:tc>
          <w:tcPr>
            <w:tcW w:w="3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Total dos Órgãos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1068A" w:rsidRPr="0051068A" w:rsidRDefault="0051068A" w:rsidP="0051068A">
            <w:pPr>
              <w:pStyle w:val="SemEspaamen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48.000.000,00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1068A" w:rsidRPr="0051068A" w:rsidRDefault="0051068A" w:rsidP="0051068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8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1068A" w:rsidRP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p w:rsidR="0051068A" w:rsidRPr="0051068A" w:rsidRDefault="0051068A" w:rsidP="0051068A">
      <w:pPr>
        <w:ind w:firstLine="2552"/>
        <w:jc w:val="both"/>
        <w:rPr>
          <w:rFonts w:ascii="Times New Roman" w:hAnsi="Times New Roman"/>
        </w:rPr>
      </w:pPr>
      <w:r w:rsidRPr="0051068A">
        <w:rPr>
          <w:rFonts w:ascii="Times New Roman" w:hAnsi="Times New Roman"/>
          <w:b/>
        </w:rPr>
        <w:t>Art. 5º -</w:t>
      </w:r>
      <w:r w:rsidRPr="0051068A">
        <w:rPr>
          <w:rFonts w:ascii="Times New Roman" w:hAnsi="Times New Roman"/>
        </w:rPr>
        <w:t xml:space="preserve"> Fica o Poder Executivo Municipal de Marechal Floriano autorizado a abrir créditos adicionais suplementares:</w:t>
      </w:r>
    </w:p>
    <w:p w:rsidR="0051068A" w:rsidRPr="0051068A" w:rsidRDefault="0051068A" w:rsidP="0051068A">
      <w:pPr>
        <w:jc w:val="both"/>
        <w:rPr>
          <w:rFonts w:ascii="Times New Roman" w:hAnsi="Times New Roman"/>
        </w:rPr>
      </w:pPr>
      <w:r w:rsidRPr="0051068A">
        <w:rPr>
          <w:rFonts w:ascii="Times New Roman" w:hAnsi="Times New Roman"/>
          <w:b/>
        </w:rPr>
        <w:t>I –</w:t>
      </w:r>
      <w:r w:rsidRPr="0051068A">
        <w:rPr>
          <w:rFonts w:ascii="Times New Roman" w:hAnsi="Times New Roman"/>
        </w:rPr>
        <w:t xml:space="preserve"> até o limite de 25% (vinte e cinco por cento) do valor total da despesa fixada na Lei Orçamentária Anual, de acordo com o disposto no art. 7º, I e art. 42 da Lei Federal 4.320 de 17 de março de 1964, utilizando como fonte de recurso as definidas no art. 43 da Lei Federal nº. 4.320/64 e recursos de convênios, conforme parecer consulta TCEES nº. 028 de 08 de julho de 2004, independentemente da fonte de recurso prevista para a despesa;</w:t>
      </w:r>
    </w:p>
    <w:p w:rsidR="0051068A" w:rsidRPr="0051068A" w:rsidRDefault="0051068A" w:rsidP="0051068A">
      <w:pPr>
        <w:jc w:val="both"/>
        <w:rPr>
          <w:rFonts w:ascii="Times New Roman" w:hAnsi="Times New Roman"/>
        </w:rPr>
      </w:pPr>
      <w:r w:rsidRPr="0051068A">
        <w:rPr>
          <w:rFonts w:ascii="Times New Roman" w:hAnsi="Times New Roman"/>
          <w:b/>
        </w:rPr>
        <w:t>II –</w:t>
      </w:r>
      <w:r w:rsidRPr="0051068A">
        <w:rPr>
          <w:rFonts w:ascii="Times New Roman" w:hAnsi="Times New Roman"/>
        </w:rPr>
        <w:t xml:space="preserve"> até 50% (cinquenta por cento) do excesso de arrecadação, nos termos do inciso II, § 1º, e §§ 3º e 4º do artigo 43 da Lei Federal nº 4.320/64;</w:t>
      </w:r>
    </w:p>
    <w:p w:rsidR="0051068A" w:rsidRPr="0051068A" w:rsidRDefault="0051068A" w:rsidP="0051068A">
      <w:pPr>
        <w:pStyle w:val="Corpodetexto"/>
        <w:spacing w:after="0"/>
        <w:jc w:val="both"/>
        <w:rPr>
          <w:sz w:val="24"/>
          <w:szCs w:val="24"/>
        </w:rPr>
      </w:pPr>
      <w:r w:rsidRPr="0051068A">
        <w:rPr>
          <w:b/>
          <w:sz w:val="24"/>
          <w:szCs w:val="24"/>
        </w:rPr>
        <w:t>III –</w:t>
      </w:r>
      <w:r w:rsidRPr="0051068A">
        <w:rPr>
          <w:sz w:val="24"/>
          <w:szCs w:val="24"/>
        </w:rPr>
        <w:t xml:space="preserve"> até 50% (cinquenta por cento) do superávit financeiro apurado no balanço patrimonial do exercício anterior, nos termos do inciso I, § 1º, e § 2º do artigo 43 da Lei Federal nº 4.320/64;</w:t>
      </w:r>
    </w:p>
    <w:p w:rsidR="0051068A" w:rsidRPr="0051068A" w:rsidRDefault="0051068A" w:rsidP="0051068A">
      <w:pPr>
        <w:pStyle w:val="Corpodetexto"/>
        <w:spacing w:after="0"/>
        <w:jc w:val="both"/>
        <w:rPr>
          <w:sz w:val="24"/>
          <w:szCs w:val="24"/>
        </w:rPr>
      </w:pPr>
      <w:r w:rsidRPr="0051068A">
        <w:rPr>
          <w:b/>
          <w:sz w:val="24"/>
          <w:szCs w:val="24"/>
        </w:rPr>
        <w:t>IV –</w:t>
      </w:r>
      <w:r w:rsidRPr="0051068A">
        <w:rPr>
          <w:sz w:val="24"/>
          <w:szCs w:val="24"/>
        </w:rPr>
        <w:t xml:space="preserve"> até 50% (cinquenta por cento) do recurso de convênio firmado no exercício, conforme Parecer Consulta TCEES n. 028/2004;</w:t>
      </w:r>
    </w:p>
    <w:p w:rsidR="0051068A" w:rsidRPr="0051068A" w:rsidRDefault="0051068A" w:rsidP="0051068A">
      <w:pPr>
        <w:pStyle w:val="Corpodetexto"/>
        <w:spacing w:after="0"/>
        <w:jc w:val="both"/>
        <w:rPr>
          <w:sz w:val="24"/>
          <w:szCs w:val="24"/>
        </w:rPr>
      </w:pPr>
      <w:r w:rsidRPr="0051068A">
        <w:rPr>
          <w:b/>
          <w:sz w:val="24"/>
          <w:szCs w:val="24"/>
        </w:rPr>
        <w:t>V-</w:t>
      </w:r>
      <w:r w:rsidRPr="0051068A">
        <w:rPr>
          <w:sz w:val="24"/>
          <w:szCs w:val="24"/>
        </w:rPr>
        <w:t xml:space="preserve"> até 50% (cinquenta por cento) do produto de operações de crédito autorizadas, de forma que juridicamente possibilite ao Poder Executivo realizá-las, conforme inciso IV do § 1º do artigo 43 da Lei Federal nº 4.320/64;</w:t>
      </w:r>
    </w:p>
    <w:p w:rsidR="0051068A" w:rsidRPr="0051068A" w:rsidRDefault="0051068A" w:rsidP="0051068A">
      <w:pPr>
        <w:pStyle w:val="Corpodetexto"/>
        <w:spacing w:after="0"/>
        <w:jc w:val="both"/>
        <w:rPr>
          <w:sz w:val="24"/>
          <w:szCs w:val="24"/>
        </w:rPr>
      </w:pPr>
      <w:r w:rsidRPr="0051068A">
        <w:rPr>
          <w:b/>
          <w:sz w:val="24"/>
          <w:szCs w:val="24"/>
        </w:rPr>
        <w:t>VI –</w:t>
      </w:r>
      <w:r w:rsidRPr="0051068A">
        <w:rPr>
          <w:sz w:val="24"/>
          <w:szCs w:val="24"/>
        </w:rPr>
        <w:t xml:space="preserve"> até 25% (vinte e cinco por cento) do valor total das dotações de pessoal e encargos sociais que se encontrarem insuficientemente dotadas, mediante anulação de dotações consignadas na Lei Orçamentária Anual e em seus créditos adicionais, nos termos do inciso III, § 1º do artigo 43 da Lei Federal nº 4.320/64.</w:t>
      </w:r>
    </w:p>
    <w:p w:rsidR="0051068A" w:rsidRPr="0051068A" w:rsidRDefault="0051068A" w:rsidP="0051068A">
      <w:pPr>
        <w:pStyle w:val="Corpodetexto"/>
        <w:spacing w:after="0"/>
        <w:jc w:val="both"/>
        <w:rPr>
          <w:sz w:val="24"/>
          <w:szCs w:val="24"/>
        </w:rPr>
      </w:pPr>
      <w:r w:rsidRPr="0051068A">
        <w:rPr>
          <w:b/>
          <w:sz w:val="24"/>
          <w:szCs w:val="24"/>
        </w:rPr>
        <w:t>VII –</w:t>
      </w:r>
      <w:r w:rsidRPr="0051068A">
        <w:rPr>
          <w:sz w:val="24"/>
          <w:szCs w:val="24"/>
        </w:rPr>
        <w:t xml:space="preserve"> até 50% (cinquenta por cento) das movimentações por anulação total ou parcial de dotações realizadas dentro do mesmo projeto ou atividade.</w:t>
      </w:r>
    </w:p>
    <w:p w:rsidR="0051068A" w:rsidRPr="0051068A" w:rsidRDefault="0051068A" w:rsidP="0051068A">
      <w:pPr>
        <w:jc w:val="both"/>
        <w:rPr>
          <w:rFonts w:ascii="Times New Roman" w:hAnsi="Times New Roman"/>
        </w:rPr>
      </w:pPr>
      <w:r w:rsidRPr="0051068A">
        <w:rPr>
          <w:rFonts w:ascii="Times New Roman" w:hAnsi="Times New Roman"/>
          <w:b/>
          <w:i/>
        </w:rPr>
        <w:t>Parágrafo único.</w:t>
      </w:r>
      <w:r w:rsidRPr="0051068A">
        <w:rPr>
          <w:rFonts w:ascii="Times New Roman" w:hAnsi="Times New Roman"/>
        </w:rPr>
        <w:t xml:space="preserve"> Os créditos adicionais suplementares autorizados no caput do artigo poderão ocorrer entre todas as Unidades Gestoras integrantes do Orçamento do município de 2015. </w:t>
      </w:r>
    </w:p>
    <w:p w:rsidR="0051068A" w:rsidRPr="0051068A" w:rsidRDefault="0051068A" w:rsidP="0051068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68A" w:rsidRPr="0051068A" w:rsidRDefault="0051068A" w:rsidP="0051068A">
      <w:pPr>
        <w:pStyle w:val="SemEspaamen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51068A">
        <w:rPr>
          <w:rFonts w:ascii="Times New Roman" w:hAnsi="Times New Roman" w:cs="Times New Roman"/>
          <w:b/>
          <w:sz w:val="24"/>
          <w:szCs w:val="24"/>
        </w:rPr>
        <w:lastRenderedPageBreak/>
        <w:t>Art. 6º.</w:t>
      </w:r>
      <w:r w:rsidRPr="0051068A">
        <w:rPr>
          <w:rFonts w:ascii="Times New Roman" w:hAnsi="Times New Roman" w:cs="Times New Roman"/>
          <w:sz w:val="24"/>
          <w:szCs w:val="24"/>
        </w:rPr>
        <w:t xml:space="preserve"> O pagamento do serviço da dívida e encargos terá prioridade sobre as ações de expansão.</w:t>
      </w:r>
    </w:p>
    <w:p w:rsidR="0051068A" w:rsidRPr="0051068A" w:rsidRDefault="0051068A" w:rsidP="005106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1068A" w:rsidRPr="0051068A" w:rsidRDefault="0051068A" w:rsidP="0051068A">
      <w:pPr>
        <w:pStyle w:val="SemEspaamento"/>
        <w:ind w:firstLine="25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A">
        <w:rPr>
          <w:rFonts w:ascii="Times New Roman" w:hAnsi="Times New Roman" w:cs="Times New Roman"/>
          <w:b/>
          <w:color w:val="000000"/>
          <w:sz w:val="24"/>
          <w:szCs w:val="24"/>
        </w:rPr>
        <w:t>Art. 7º.</w:t>
      </w:r>
      <w:r w:rsidRPr="0051068A">
        <w:rPr>
          <w:rFonts w:ascii="Times New Roman" w:hAnsi="Times New Roman" w:cs="Times New Roman"/>
          <w:color w:val="000000"/>
          <w:sz w:val="24"/>
          <w:szCs w:val="24"/>
        </w:rPr>
        <w:t xml:space="preserve"> Ficam adequado os programas, metas e ações previstas no Plano Plurianual de 2014 a 2017, com a programação orçamentária constantes nos anexos da presente Lei, de modo a compatibilizar as ações governamentais da administração às necessidades e prioridades da população.</w:t>
      </w:r>
    </w:p>
    <w:p w:rsidR="0051068A" w:rsidRPr="0051068A" w:rsidRDefault="0051068A" w:rsidP="005106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1068A" w:rsidRPr="0051068A" w:rsidRDefault="0051068A" w:rsidP="0051068A">
      <w:pPr>
        <w:pStyle w:val="SemEspaamento"/>
        <w:ind w:firstLine="25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A">
        <w:rPr>
          <w:rFonts w:ascii="Times New Roman" w:hAnsi="Times New Roman" w:cs="Times New Roman"/>
          <w:b/>
          <w:sz w:val="24"/>
          <w:szCs w:val="24"/>
        </w:rPr>
        <w:t>Art. 8º</w:t>
      </w:r>
      <w:r w:rsidRPr="00510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1068A">
        <w:rPr>
          <w:rFonts w:ascii="Times New Roman" w:hAnsi="Times New Roman" w:cs="Times New Roman"/>
          <w:color w:val="000000"/>
          <w:sz w:val="24"/>
          <w:szCs w:val="24"/>
        </w:rPr>
        <w:t>A presente lei entra em vigor na data de sua publicação com efeitos a partir de 01 de janeiro de 2016.</w:t>
      </w:r>
    </w:p>
    <w:p w:rsidR="0051068A" w:rsidRPr="0051068A" w:rsidRDefault="0051068A" w:rsidP="0051068A">
      <w:pPr>
        <w:ind w:firstLine="2552"/>
        <w:jc w:val="both"/>
        <w:rPr>
          <w:rFonts w:ascii="Times New Roman" w:hAnsi="Times New Roman"/>
          <w:b/>
        </w:rPr>
      </w:pPr>
    </w:p>
    <w:p w:rsidR="0051068A" w:rsidRPr="0051068A" w:rsidRDefault="0051068A" w:rsidP="0051068A">
      <w:pPr>
        <w:ind w:firstLine="2552"/>
        <w:jc w:val="both"/>
        <w:rPr>
          <w:rFonts w:ascii="Times New Roman" w:hAnsi="Times New Roman"/>
        </w:rPr>
      </w:pPr>
      <w:r w:rsidRPr="0051068A">
        <w:rPr>
          <w:rFonts w:ascii="Times New Roman" w:hAnsi="Times New Roman"/>
          <w:b/>
        </w:rPr>
        <w:t>Art. 9º -</w:t>
      </w:r>
      <w:r w:rsidRPr="0051068A">
        <w:rPr>
          <w:rFonts w:ascii="Times New Roman" w:hAnsi="Times New Roman"/>
        </w:rPr>
        <w:t xml:space="preserve"> Revogam-se as disposições em contrário.</w:t>
      </w:r>
    </w:p>
    <w:p w:rsidR="0051068A" w:rsidRP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p w:rsidR="0051068A" w:rsidRPr="0051068A" w:rsidRDefault="0051068A" w:rsidP="0051068A">
      <w:pPr>
        <w:ind w:right="232"/>
        <w:rPr>
          <w:rStyle w:val="normaltextrun"/>
          <w:rFonts w:ascii="Times New Roman" w:hAnsi="Times New Roman"/>
          <w:b/>
        </w:rPr>
      </w:pPr>
    </w:p>
    <w:p w:rsidR="00A32B0A" w:rsidRPr="004A02F0" w:rsidRDefault="00A32B0A" w:rsidP="00A32B0A">
      <w:pPr>
        <w:spacing w:line="360" w:lineRule="auto"/>
        <w:jc w:val="center"/>
        <w:rPr>
          <w:rFonts w:ascii="Times New Roman" w:hAnsi="Times New Roman"/>
        </w:rPr>
      </w:pPr>
      <w:r w:rsidRPr="004A02F0">
        <w:rPr>
          <w:rFonts w:ascii="Times New Roman" w:hAnsi="Times New Roman"/>
        </w:rPr>
        <w:t>Registra-se, Publica-se e Cumpra-se.</w:t>
      </w:r>
    </w:p>
    <w:p w:rsidR="00F22FCA" w:rsidRDefault="00F22FCA" w:rsidP="00F22FCA">
      <w:pPr>
        <w:ind w:firstLine="2552"/>
        <w:jc w:val="both"/>
        <w:rPr>
          <w:rFonts w:ascii="Times New Roman" w:hAnsi="Times New Roman"/>
        </w:rPr>
      </w:pPr>
    </w:p>
    <w:p w:rsidR="000C15B2" w:rsidRDefault="000C15B2" w:rsidP="00F22FCA">
      <w:pPr>
        <w:ind w:firstLine="2552"/>
        <w:jc w:val="both"/>
        <w:rPr>
          <w:rFonts w:ascii="Times New Roman" w:hAnsi="Times New Roman"/>
        </w:rPr>
      </w:pPr>
    </w:p>
    <w:p w:rsidR="000C15B2" w:rsidRDefault="000C15B2" w:rsidP="00F22FCA">
      <w:pPr>
        <w:ind w:firstLine="2552"/>
        <w:jc w:val="both"/>
        <w:rPr>
          <w:rFonts w:ascii="Times New Roman" w:hAnsi="Times New Roman"/>
        </w:rPr>
      </w:pPr>
    </w:p>
    <w:p w:rsidR="000C15B2" w:rsidRPr="00673A3A" w:rsidRDefault="000C15B2" w:rsidP="00F22FCA">
      <w:pPr>
        <w:ind w:firstLine="2552"/>
        <w:jc w:val="both"/>
        <w:rPr>
          <w:rFonts w:ascii="Times New Roman" w:hAnsi="Times New Roman"/>
        </w:rPr>
      </w:pPr>
    </w:p>
    <w:p w:rsidR="00F22FCA" w:rsidRPr="0062380C" w:rsidRDefault="00F22FCA" w:rsidP="00F22FCA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 w:rsidR="00A32B0A">
        <w:rPr>
          <w:rFonts w:ascii="Times New Roman" w:hAnsi="Times New Roman"/>
          <w:color w:val="auto"/>
        </w:rPr>
        <w:t>20</w:t>
      </w:r>
      <w:r w:rsidRPr="0062380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Novembro</w:t>
      </w:r>
      <w:r w:rsidRPr="0062380C">
        <w:rPr>
          <w:rFonts w:ascii="Times New Roman" w:hAnsi="Times New Roman"/>
          <w:color w:val="auto"/>
        </w:rPr>
        <w:t xml:space="preserve"> de 2015.</w:t>
      </w:r>
    </w:p>
    <w:p w:rsidR="00F22FCA" w:rsidRDefault="00F22FCA" w:rsidP="00F22FC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658BD" w:rsidRDefault="00A658BD" w:rsidP="00F22FC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0C15B2" w:rsidRDefault="000C15B2" w:rsidP="00F22FC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22FCA" w:rsidRPr="0062380C" w:rsidRDefault="00F22FCA" w:rsidP="00F22FCA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F22FCA" w:rsidRDefault="00F22FCA" w:rsidP="00F22FC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A658BD" w:rsidRDefault="00A658BD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A658BD" w:rsidRDefault="00A658BD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A658BD" w:rsidRDefault="00A658BD" w:rsidP="00F22FCA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0C15B2" w:rsidRDefault="000C15B2" w:rsidP="000C15B2">
      <w:pPr>
        <w:ind w:left="-425" w:right="-427"/>
        <w:jc w:val="center"/>
        <w:rPr>
          <w:rFonts w:ascii="Arial" w:hAnsi="Arial" w:cs="Arial"/>
          <w:sz w:val="16"/>
          <w:szCs w:val="16"/>
        </w:rPr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092/2015 </w:t>
      </w:r>
    </w:p>
    <w:p w:rsidR="000C15B2" w:rsidRDefault="000C15B2" w:rsidP="000C15B2">
      <w:pPr>
        <w:ind w:left="-425" w:right="-427"/>
        <w:jc w:val="center"/>
      </w:pPr>
      <w:r>
        <w:rPr>
          <w:rFonts w:ascii="Arial" w:hAnsi="Arial" w:cs="Arial"/>
          <w:sz w:val="16"/>
          <w:szCs w:val="16"/>
        </w:rPr>
        <w:t xml:space="preserve">Autor: Antonio </w:t>
      </w:r>
      <w:proofErr w:type="spellStart"/>
      <w:r>
        <w:rPr>
          <w:rFonts w:ascii="Arial" w:hAnsi="Arial" w:cs="Arial"/>
          <w:sz w:val="16"/>
          <w:szCs w:val="16"/>
        </w:rPr>
        <w:t>Lidiney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Gobbi</w:t>
      </w:r>
      <w:proofErr w:type="spellEnd"/>
      <w:r>
        <w:rPr>
          <w:rFonts w:ascii="Arial" w:hAnsi="Arial" w:cs="Arial"/>
          <w:sz w:val="16"/>
          <w:szCs w:val="16"/>
        </w:rPr>
        <w:t xml:space="preserve"> – Prefeito Municipal</w:t>
      </w:r>
    </w:p>
    <w:p w:rsidR="00F22FCA" w:rsidRDefault="00F22FCA" w:rsidP="00F22FCA">
      <w:pPr>
        <w:ind w:left="-425" w:right="-427"/>
        <w:jc w:val="center"/>
      </w:pPr>
    </w:p>
    <w:sectPr w:rsidR="00F22FCA" w:rsidSect="00A658BD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68A" w:rsidRDefault="0051068A" w:rsidP="00A658BD">
      <w:r>
        <w:separator/>
      </w:r>
    </w:p>
  </w:endnote>
  <w:endnote w:type="continuationSeparator" w:id="0">
    <w:p w:rsidR="0051068A" w:rsidRDefault="0051068A" w:rsidP="00A6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8A" w:rsidRPr="000471A5" w:rsidRDefault="0051068A" w:rsidP="00A32B0A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8A" w:rsidRPr="009A69E2" w:rsidRDefault="0051068A" w:rsidP="00A32B0A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68A" w:rsidRDefault="0051068A" w:rsidP="00A658BD">
      <w:r>
        <w:separator/>
      </w:r>
    </w:p>
  </w:footnote>
  <w:footnote w:type="continuationSeparator" w:id="0">
    <w:p w:rsidR="0051068A" w:rsidRDefault="0051068A" w:rsidP="00A65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8A" w:rsidRDefault="007D38EF" w:rsidP="00A32B0A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11871136" r:id="rId2"/>
      </w:pict>
    </w:r>
  </w:p>
  <w:p w:rsidR="0051068A" w:rsidRDefault="0051068A" w:rsidP="00A32B0A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51068A" w:rsidRPr="007670D6" w:rsidRDefault="0051068A" w:rsidP="00A32B0A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51068A" w:rsidRDefault="0051068A" w:rsidP="00A32B0A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51068A" w:rsidRPr="002C0BD7" w:rsidRDefault="0051068A" w:rsidP="00A32B0A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51068A" w:rsidRPr="00123325" w:rsidRDefault="0051068A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8A" w:rsidRDefault="007D38EF" w:rsidP="00A32B0A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30.3pt;width:71.55pt;height:74.2pt;z-index:251661312">
          <v:imagedata r:id="rId1" o:title=""/>
          <w10:wrap type="topAndBottom"/>
        </v:shape>
        <o:OLEObject Type="Embed" ProgID="PBrush" ShapeID="_x0000_s1026" DrawAspect="Content" ObjectID="_1511871137" r:id="rId2"/>
      </w:pict>
    </w:r>
  </w:p>
  <w:p w:rsidR="0051068A" w:rsidRDefault="0051068A" w:rsidP="00A32B0A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1068A" w:rsidRDefault="0051068A" w:rsidP="00A32B0A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1068A" w:rsidRDefault="0051068A" w:rsidP="00A32B0A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1068A" w:rsidRDefault="0051068A" w:rsidP="00A32B0A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1068A" w:rsidRDefault="0051068A" w:rsidP="00A32B0A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1068A" w:rsidRDefault="0051068A" w:rsidP="00A32B0A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1068A" w:rsidRDefault="0051068A" w:rsidP="00A32B0A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1068A" w:rsidRDefault="0051068A" w:rsidP="00A32B0A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1068A" w:rsidRDefault="0051068A" w:rsidP="00A32B0A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1068A" w:rsidRDefault="0051068A" w:rsidP="00A32B0A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1068A" w:rsidRPr="00A064AE" w:rsidRDefault="0051068A" w:rsidP="00A32B0A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1068A" w:rsidRDefault="0051068A" w:rsidP="00A32B0A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51068A" w:rsidRPr="002C0BD7" w:rsidRDefault="0051068A" w:rsidP="00A32B0A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22FCA"/>
    <w:rsid w:val="000C15B2"/>
    <w:rsid w:val="001B68AC"/>
    <w:rsid w:val="002C7953"/>
    <w:rsid w:val="004204A6"/>
    <w:rsid w:val="0051068A"/>
    <w:rsid w:val="005A6DF2"/>
    <w:rsid w:val="006C255A"/>
    <w:rsid w:val="007D38EF"/>
    <w:rsid w:val="00A01731"/>
    <w:rsid w:val="00A32B0A"/>
    <w:rsid w:val="00A515B4"/>
    <w:rsid w:val="00A658BD"/>
    <w:rsid w:val="00AD201E"/>
    <w:rsid w:val="00B967B7"/>
    <w:rsid w:val="00DC16F8"/>
    <w:rsid w:val="00DC4A91"/>
    <w:rsid w:val="00F2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CA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F22FCA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F22FCA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F22FCA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F22FCA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F22FCA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F22FCA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A32B0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A32B0A"/>
    <w:pPr>
      <w:suppressAutoHyphens/>
      <w:spacing w:after="120"/>
    </w:pPr>
    <w:rPr>
      <w:rFonts w:ascii="Times New Roman" w:hAnsi="Times New Roman"/>
      <w:bCs w:val="0"/>
      <w:color w:val="auto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32B0A"/>
    <w:rPr>
      <w:lang w:eastAsia="ar-SA"/>
    </w:rPr>
  </w:style>
  <w:style w:type="character" w:customStyle="1" w:styleId="normaltextrun">
    <w:name w:val="normaltextrun"/>
    <w:basedOn w:val="Fontepargpadro"/>
    <w:rsid w:val="00510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775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4</cp:revision>
  <cp:lastPrinted>2015-12-17T17:25:00Z</cp:lastPrinted>
  <dcterms:created xsi:type="dcterms:W3CDTF">2015-12-03T12:09:00Z</dcterms:created>
  <dcterms:modified xsi:type="dcterms:W3CDTF">2015-12-17T17:26:00Z</dcterms:modified>
</cp:coreProperties>
</file>